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54464">
      <w:pPr>
        <w:pStyle w:val="12"/>
        <w:spacing w:line="1200" w:lineRule="exact"/>
        <w:ind w:firstLine="1920"/>
        <w:jc w:val="center"/>
        <w:rPr>
          <w:rFonts w:ascii="方正小标宋简体" w:eastAsia="方正小标宋简体"/>
          <w:color w:val="auto"/>
          <w:sz w:val="96"/>
          <w:szCs w:val="96"/>
          <w:highlight w:val="none"/>
        </w:rPr>
      </w:pPr>
    </w:p>
    <w:p w14:paraId="5A2F4EAC">
      <w:pPr>
        <w:pStyle w:val="12"/>
        <w:tabs>
          <w:tab w:val="left" w:pos="6600"/>
        </w:tabs>
        <w:spacing w:line="1200" w:lineRule="exact"/>
        <w:ind w:firstLine="0" w:firstLineChars="0"/>
        <w:jc w:val="center"/>
        <w:rPr>
          <w:rFonts w:ascii="方正小标宋简体" w:eastAsia="方正小标宋简体"/>
          <w:b/>
          <w:bCs/>
          <w:color w:val="auto"/>
          <w:spacing w:val="20"/>
          <w:sz w:val="120"/>
          <w:szCs w:val="120"/>
          <w:highlight w:val="none"/>
        </w:rPr>
      </w:pPr>
    </w:p>
    <w:p w14:paraId="17F43116">
      <w:pPr>
        <w:pStyle w:val="12"/>
        <w:keepNext w:val="0"/>
        <w:keepLines w:val="0"/>
        <w:pageBreakBefore w:val="0"/>
        <w:widowControl/>
        <w:kinsoku/>
        <w:wordWrap/>
        <w:overflowPunct/>
        <w:topLinePunct w:val="0"/>
        <w:autoSpaceDE/>
        <w:autoSpaceDN/>
        <w:bidi w:val="0"/>
        <w:adjustRightInd/>
        <w:snapToGrid/>
        <w:spacing w:line="1100" w:lineRule="exact"/>
        <w:ind w:firstLine="0" w:firstLineChars="0"/>
        <w:jc w:val="center"/>
        <w:textAlignment w:val="auto"/>
        <w:rPr>
          <w:rFonts w:ascii="方正小标宋简体" w:eastAsia="方正小标宋简体"/>
          <w:color w:val="auto"/>
          <w:sz w:val="40"/>
          <w:szCs w:val="40"/>
          <w:highlight w:val="none"/>
        </w:rPr>
      </w:pPr>
      <w:r>
        <w:rPr>
          <w:rFonts w:hint="eastAsia" w:ascii="方正小标宋简体" w:eastAsia="方正小标宋简体"/>
          <w:color w:val="auto"/>
          <w:sz w:val="40"/>
          <w:szCs w:val="40"/>
          <w:highlight w:val="none"/>
        </w:rPr>
        <w:t xml:space="preserve">   </w:t>
      </w:r>
    </w:p>
    <w:p w14:paraId="668B92C5">
      <w:pPr>
        <w:keepNext w:val="0"/>
        <w:keepLines w:val="0"/>
        <w:pageBreakBefore w:val="0"/>
        <w:widowControl/>
        <w:tabs>
          <w:tab w:val="left" w:pos="6510"/>
          <w:tab w:val="left" w:pos="6720"/>
          <w:tab w:val="left" w:pos="6930"/>
          <w:tab w:val="left" w:pos="7770"/>
        </w:tabs>
        <w:kinsoku/>
        <w:wordWrap/>
        <w:overflowPunct/>
        <w:topLinePunct w:val="0"/>
        <w:autoSpaceDE/>
        <w:autoSpaceDN/>
        <w:bidi w:val="0"/>
        <w:adjustRightInd w:val="0"/>
        <w:snapToGrid w:val="0"/>
        <w:spacing w:before="312" w:beforeLines="100" w:line="640" w:lineRule="exact"/>
        <w:ind w:left="101" w:leftChars="46" w:firstLine="0" w:firstLineChars="0"/>
        <w:textAlignment w:val="auto"/>
        <w:rPr>
          <w:rFonts w:ascii="仿宋_GB2312" w:hAnsi="宋体" w:eastAsia="仿宋_GB2312" w:cs="仿宋_GB2312"/>
          <w:color w:val="auto"/>
          <w:kern w:val="21"/>
          <w:sz w:val="32"/>
          <w:szCs w:val="32"/>
          <w:highlight w:val="none"/>
        </w:rPr>
      </w:pPr>
      <w:r>
        <w:rPr>
          <w:rFonts w:hint="eastAsia" w:ascii="仿宋_GB2312" w:hAnsi="宋体" w:eastAsia="仿宋_GB2312" w:cs="仿宋_GB2312"/>
          <w:color w:val="auto"/>
          <w:kern w:val="21"/>
          <w:sz w:val="32"/>
          <w:szCs w:val="32"/>
          <w:highlight w:val="none"/>
        </w:rPr>
        <w:t>宛农文〔202</w:t>
      </w:r>
      <w:r>
        <w:rPr>
          <w:rFonts w:hint="eastAsia" w:ascii="仿宋_GB2312" w:hAnsi="宋体" w:eastAsia="仿宋_GB2312" w:cs="仿宋_GB2312"/>
          <w:color w:val="auto"/>
          <w:kern w:val="21"/>
          <w:sz w:val="32"/>
          <w:szCs w:val="32"/>
          <w:highlight w:val="none"/>
          <w:lang w:val="en-US" w:eastAsia="zh-CN"/>
        </w:rPr>
        <w:t>5</w:t>
      </w:r>
      <w:r>
        <w:rPr>
          <w:rFonts w:hint="eastAsia" w:ascii="仿宋_GB2312" w:hAnsi="宋体" w:eastAsia="仿宋_GB2312" w:cs="仿宋_GB2312"/>
          <w:color w:val="auto"/>
          <w:kern w:val="21"/>
          <w:sz w:val="32"/>
          <w:szCs w:val="32"/>
          <w:highlight w:val="none"/>
        </w:rPr>
        <w:t>〕</w:t>
      </w:r>
      <w:r>
        <w:rPr>
          <w:rFonts w:hint="eastAsia" w:ascii="仿宋_GB2312" w:hAnsi="宋体" w:eastAsia="仿宋_GB2312" w:cs="仿宋_GB2312"/>
          <w:color w:val="auto"/>
          <w:kern w:val="21"/>
          <w:sz w:val="32"/>
          <w:szCs w:val="32"/>
          <w:highlight w:val="none"/>
          <w:lang w:val="en-US" w:eastAsia="zh-CN"/>
        </w:rPr>
        <w:t>8</w:t>
      </w:r>
      <w:r>
        <w:rPr>
          <w:rFonts w:hint="eastAsia" w:ascii="仿宋_GB2312" w:hAnsi="宋体" w:eastAsia="仿宋_GB2312" w:cs="仿宋_GB2312"/>
          <w:color w:val="auto"/>
          <w:kern w:val="21"/>
          <w:sz w:val="32"/>
          <w:szCs w:val="32"/>
          <w:highlight w:val="none"/>
        </w:rPr>
        <w:t>号</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签发人：</w:t>
      </w:r>
      <w:r>
        <w:rPr>
          <w:rFonts w:hint="eastAsia" w:ascii="楷体_GB2312" w:hAnsi="楷体_GB2312" w:eastAsia="楷体_GB2312" w:cs="楷体_GB2312"/>
          <w:color w:val="auto"/>
          <w:kern w:val="21"/>
          <w:sz w:val="32"/>
          <w:szCs w:val="32"/>
          <w:highlight w:val="none"/>
        </w:rPr>
        <w:t>周清玉</w:t>
      </w:r>
    </w:p>
    <w:p w14:paraId="72673D66">
      <w:pPr>
        <w:keepNext w:val="0"/>
        <w:keepLines w:val="0"/>
        <w:pageBreakBefore w:val="0"/>
        <w:tabs>
          <w:tab w:val="left" w:pos="6400"/>
          <w:tab w:val="left" w:pos="6519"/>
          <w:tab w:val="left" w:pos="6600"/>
          <w:tab w:val="left" w:pos="6800"/>
        </w:tabs>
        <w:kinsoku/>
        <w:wordWrap/>
        <w:overflowPunct/>
        <w:topLinePunct w:val="0"/>
        <w:autoSpaceDE/>
        <w:autoSpaceDN/>
        <w:bidi w:val="0"/>
        <w:spacing w:before="156" w:beforeLines="50" w:line="640" w:lineRule="exact"/>
        <w:ind w:firstLine="0" w:firstLineChars="0"/>
        <w:jc w:val="center"/>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lang w:val="en-US" w:eastAsia="zh-CN"/>
        </w:rPr>
        <w:t xml:space="preserve">  </w:t>
      </w:r>
      <w:r>
        <w:rPr>
          <w:rFonts w:hint="eastAsia" w:ascii="仿宋_GB2312" w:hAnsi="宋体" w:eastAsia="仿宋_GB2312" w:cs="仿宋_GB2312"/>
          <w:color w:val="auto"/>
          <w:sz w:val="32"/>
          <w:szCs w:val="32"/>
          <w:highlight w:val="none"/>
        </w:rPr>
        <w:t>办理结果：A</w:t>
      </w:r>
    </w:p>
    <w:p w14:paraId="1A366A3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olor w:val="auto"/>
          <w:w w:val="66"/>
          <w:sz w:val="40"/>
          <w:szCs w:val="40"/>
          <w:highlight w:val="none"/>
          <w:lang w:eastAsia="zh-CN"/>
        </w:rPr>
      </w:pPr>
    </w:p>
    <w:p w14:paraId="19CD67C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color w:val="auto"/>
          <w:sz w:val="44"/>
          <w:szCs w:val="44"/>
          <w:highlight w:val="none"/>
        </w:rPr>
      </w:pPr>
    </w:p>
    <w:p w14:paraId="358623A3">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对市七届人大四次会议第96号建议的答复</w:t>
      </w:r>
    </w:p>
    <w:p w14:paraId="34F93F7D">
      <w:pPr>
        <w:spacing w:line="600" w:lineRule="exact"/>
        <w:ind w:firstLine="662" w:firstLineChars="200"/>
        <w:rPr>
          <w:rFonts w:ascii="仿宋_GB2312" w:hAnsi="仿宋_GB2312" w:eastAsia="仿宋_GB2312" w:cs="仿宋_GB2312"/>
          <w:sz w:val="32"/>
          <w:szCs w:val="32"/>
        </w:rPr>
      </w:pPr>
    </w:p>
    <w:p w14:paraId="73FB2AB6">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魏家安代表：</w:t>
      </w:r>
    </w:p>
    <w:p w14:paraId="2DBB356C">
      <w:pPr>
        <w:spacing w:line="60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您提出的“关于通过产业振兴推动乡村振兴的建议”收悉。现答复如下：</w:t>
      </w:r>
    </w:p>
    <w:p w14:paraId="7BBE6A08">
      <w:pPr>
        <w:pStyle w:val="2"/>
        <w:adjustRightInd w:val="0"/>
        <w:snapToGrid w:val="0"/>
        <w:spacing w:before="0" w:beforeAutospacing="0" w:after="0" w:afterAutospacing="0" w:line="600" w:lineRule="exact"/>
        <w:ind w:firstLine="662" w:firstLineChars="200"/>
        <w:jc w:val="both"/>
        <w:rPr>
          <w:rFonts w:hint="default" w:ascii="仿宋_GB2312" w:hAnsi="Times New Roman" w:eastAsia="仿宋_GB2312" w:cs="仿宋_GB2312"/>
          <w:b w:val="0"/>
          <w:bCs w:val="0"/>
          <w:kern w:val="2"/>
          <w:sz w:val="32"/>
          <w:szCs w:val="32"/>
        </w:rPr>
      </w:pPr>
      <w:r>
        <w:rPr>
          <w:rFonts w:ascii="仿宋_GB2312" w:hAnsi="Times New Roman" w:eastAsia="仿宋_GB2312" w:cs="仿宋_GB2312"/>
          <w:b w:val="0"/>
          <w:bCs w:val="0"/>
          <w:kern w:val="2"/>
          <w:sz w:val="32"/>
          <w:szCs w:val="32"/>
        </w:rPr>
        <w:t>2024年，全市农业农村工作在市委、市政府坚强领导下，以“五聚五提”为总抓手，以学习运用“千万工程”经验为引领，按照“抓两头带中间”的总体思路，系统推进、多维发力，“三农”工作持续稳中有进、稳中提质发展。全市农业总产值1393.93亿元，同比增长3.7%；农村居民人均可支配收入21927元，同比增长7.3%。在促进产业振兴上，我们采取了一系列举措，具体如下：</w:t>
      </w:r>
    </w:p>
    <w:p w14:paraId="1072E31F">
      <w:pPr>
        <w:spacing w:line="600" w:lineRule="exact"/>
        <w:ind w:firstLine="662" w:firstLineChars="200"/>
        <w:rPr>
          <w:rFonts w:ascii="仿宋_GB2312" w:eastAsia="仿宋_GB2312"/>
          <w:color w:val="000000"/>
          <w:sz w:val="32"/>
          <w:szCs w:val="32"/>
        </w:rPr>
      </w:pPr>
      <w:r>
        <w:rPr>
          <w:rFonts w:hint="eastAsia" w:ascii="仿宋_GB2312" w:eastAsia="仿宋_GB2312"/>
          <w:color w:val="000000"/>
          <w:sz w:val="32"/>
          <w:szCs w:val="32"/>
        </w:rPr>
        <w:t>首先是在</w:t>
      </w:r>
      <w:r>
        <w:rPr>
          <w:rFonts w:hint="eastAsia" w:ascii="仿宋_GB2312" w:eastAsia="仿宋_GB2312"/>
          <w:b/>
          <w:bCs/>
          <w:color w:val="000000"/>
          <w:sz w:val="32"/>
          <w:szCs w:val="32"/>
        </w:rPr>
        <w:t>“夯基础、固安全”上有新成效</w:t>
      </w:r>
      <w:r>
        <w:rPr>
          <w:rFonts w:hint="eastAsia" w:ascii="仿宋_GB2312" w:eastAsia="仿宋_GB2312"/>
          <w:color w:val="000000"/>
          <w:sz w:val="32"/>
          <w:szCs w:val="32"/>
        </w:rPr>
        <w:t>。坚持以粮食安全为“压舱石”、以重要农产品稳产保供为“生命线”，系统构筑了乡村振兴的坚实根基。</w:t>
      </w:r>
      <w:r>
        <w:rPr>
          <w:rFonts w:hint="eastAsia" w:ascii="仿宋_GB2312" w:eastAsia="仿宋_GB2312"/>
          <w:b/>
          <w:bCs/>
          <w:color w:val="000000"/>
          <w:sz w:val="32"/>
          <w:szCs w:val="32"/>
        </w:rPr>
        <w:t>一是粮食安全根基持续稳固。</w:t>
      </w:r>
      <w:r>
        <w:rPr>
          <w:rFonts w:hint="eastAsia" w:ascii="仿宋_GB2312" w:eastAsia="仿宋_GB2312"/>
          <w:color w:val="000000"/>
          <w:sz w:val="32"/>
          <w:szCs w:val="32"/>
        </w:rPr>
        <w:t>深入实施“藏粮于地、藏粮于技”战略，全力组织抗灾生产夺丰收，全市粮食总产133.6亿斤，居全省第四位。</w:t>
      </w:r>
      <w:r>
        <w:rPr>
          <w:rFonts w:hint="eastAsia" w:ascii="仿宋_GB2312" w:eastAsia="仿宋_GB2312"/>
          <w:b/>
          <w:sz w:val="32"/>
          <w:szCs w:val="32"/>
        </w:rPr>
        <w:t>二是重要农产品持续保障。</w:t>
      </w:r>
      <w:r>
        <w:rPr>
          <w:rFonts w:hint="eastAsia" w:ascii="仿宋_GB2312" w:eastAsia="仿宋_GB2312"/>
          <w:bCs/>
          <w:sz w:val="32"/>
          <w:szCs w:val="32"/>
        </w:rPr>
        <w:t>生</w:t>
      </w:r>
      <w:r>
        <w:rPr>
          <w:rFonts w:hint="eastAsia" w:ascii="仿宋_GB2312" w:eastAsia="仿宋_GB2312"/>
          <w:color w:val="000000"/>
          <w:sz w:val="32"/>
          <w:szCs w:val="32"/>
        </w:rPr>
        <w:t>猪饲养量达1500万头，肉蛋奶总产144万吨，水产品产量12.2万吨，蔬菜产量701万吨。</w:t>
      </w:r>
      <w:r>
        <w:rPr>
          <w:rFonts w:hint="eastAsia" w:ascii="仿宋_GB2312" w:eastAsia="仿宋_GB2312"/>
          <w:bCs/>
          <w:sz w:val="32"/>
          <w:szCs w:val="32"/>
        </w:rPr>
        <w:t>油</w:t>
      </w:r>
      <w:r>
        <w:rPr>
          <w:rFonts w:hint="eastAsia" w:ascii="仿宋_GB2312" w:eastAsia="仿宋_GB2312"/>
          <w:color w:val="000000"/>
          <w:sz w:val="32"/>
          <w:szCs w:val="32"/>
        </w:rPr>
        <w:t>料种植面积达到602.95万亩；优质果园总面积60万亩；袋栽菌类5.55亿袋。全市</w:t>
      </w:r>
      <w:r>
        <w:rPr>
          <w:rFonts w:hint="eastAsia" w:ascii="仿宋_GB2312" w:hAnsi="仿宋_GB2312" w:eastAsia="仿宋_GB2312" w:cs="仿宋_GB2312"/>
          <w:color w:val="000000"/>
          <w:sz w:val="32"/>
          <w:szCs w:val="32"/>
        </w:rPr>
        <w:t>“菜篮子”</w:t>
      </w:r>
      <w:r>
        <w:rPr>
          <w:rFonts w:hint="eastAsia" w:ascii="仿宋_GB2312" w:eastAsia="仿宋_GB2312"/>
          <w:color w:val="000000"/>
          <w:sz w:val="32"/>
          <w:szCs w:val="32"/>
        </w:rPr>
        <w:t>“肉盘子”供应充足。</w:t>
      </w:r>
    </w:p>
    <w:p w14:paraId="6F2CE41E">
      <w:pPr>
        <w:spacing w:line="600" w:lineRule="exact"/>
        <w:ind w:firstLine="662" w:firstLineChars="200"/>
        <w:rPr>
          <w:rFonts w:ascii="仿宋_GB2312" w:eastAsia="仿宋_GB2312"/>
          <w:color w:val="000000"/>
          <w:sz w:val="32"/>
          <w:szCs w:val="32"/>
        </w:rPr>
      </w:pPr>
      <w:r>
        <w:rPr>
          <w:rFonts w:hint="eastAsia" w:ascii="仿宋_GB2312" w:eastAsia="仿宋_GB2312"/>
          <w:color w:val="000000"/>
          <w:sz w:val="32"/>
          <w:szCs w:val="32"/>
        </w:rPr>
        <w:t>其二是在</w:t>
      </w:r>
      <w:r>
        <w:rPr>
          <w:rFonts w:hint="eastAsia" w:ascii="仿宋_GB2312" w:eastAsia="仿宋_GB2312"/>
          <w:b/>
          <w:bCs/>
          <w:color w:val="000000"/>
          <w:sz w:val="32"/>
          <w:szCs w:val="32"/>
        </w:rPr>
        <w:t>“促振兴、畅循环”上有新进展</w:t>
      </w:r>
      <w:r>
        <w:rPr>
          <w:rFonts w:hint="eastAsia" w:ascii="仿宋_GB2312" w:eastAsia="仿宋_GB2312"/>
          <w:color w:val="000000"/>
          <w:sz w:val="32"/>
          <w:szCs w:val="32"/>
        </w:rPr>
        <w:t>。聚焦贯通“全链融合、品牌建设、改革突破、项目建设”四条路径，推动农业高质高效发展与农村经济良性循环同频共振。</w:t>
      </w:r>
      <w:r>
        <w:rPr>
          <w:rFonts w:hint="eastAsia" w:ascii="仿宋_GB2312" w:eastAsia="仿宋_GB2312"/>
          <w:b/>
          <w:bCs/>
          <w:color w:val="000000"/>
          <w:sz w:val="32"/>
          <w:szCs w:val="32"/>
        </w:rPr>
        <w:t>一是三产融合体系加速构建。</w:t>
      </w:r>
      <w:r>
        <w:rPr>
          <w:rFonts w:hint="eastAsia" w:ascii="仿宋_GB2312" w:hAnsi="Times New Roman" w:eastAsia="仿宋_GB2312" w:cs="仿宋_GB2312"/>
          <w:sz w:val="32"/>
          <w:szCs w:val="32"/>
        </w:rPr>
        <w:t>新增1个国家级农业产业强镇（社旗县桥头镇艾草）、2个国家级优势特色产业集群（桐柏稻米，卧龙、方城、淅川中药材），认定48家市级农业产业化重点龙头企业；培育2个休闲农业重点县，6个中国美丽休闲乡村。</w:t>
      </w:r>
      <w:r>
        <w:rPr>
          <w:rFonts w:hint="eastAsia" w:ascii="仿宋_GB2312" w:eastAsia="仿宋_GB2312"/>
          <w:b/>
          <w:bCs/>
          <w:sz w:val="32"/>
          <w:szCs w:val="32"/>
        </w:rPr>
        <w:t>二是农业品牌价值持续提升。</w:t>
      </w:r>
      <w:r>
        <w:rPr>
          <w:rFonts w:hint="eastAsia" w:ascii="仿宋_GB2312" w:eastAsia="仿宋_GB2312"/>
          <w:sz w:val="32"/>
          <w:szCs w:val="32"/>
        </w:rPr>
        <w:t>全市农产品质量安全监测合格率99.8%。</w:t>
      </w:r>
      <w:r>
        <w:rPr>
          <w:rFonts w:hint="eastAsia" w:ascii="仿宋_GB2312" w:eastAsia="仿宋_GB2312"/>
          <w:color w:val="000000"/>
          <w:sz w:val="32"/>
          <w:szCs w:val="32"/>
        </w:rPr>
        <w:t>想念食品股份有限公司和仲景食品有限公司被确定为河南省第一批省级现代农业全产业链标准化示范基地。南阳上榜国家地理标志农产品品牌数量位居全省第3位，其中南阳黄牛、南阳艾分别以726.93亿元、533.92亿元的品牌价值位居榜单。培育市级以上知名农业品牌59个，35个产品入围河南省首批“豫农优品”区域公用品牌名录，西峡香菇入选中国农业品牌目录农产品区域公用品牌。</w:t>
      </w:r>
      <w:r>
        <w:rPr>
          <w:rFonts w:hint="eastAsia" w:ascii="仿宋_GB2312" w:eastAsia="仿宋_GB2312"/>
          <w:b/>
          <w:bCs/>
          <w:sz w:val="32"/>
          <w:szCs w:val="32"/>
        </w:rPr>
        <w:t>三是深化农村改革进一步纵深突破。</w:t>
      </w:r>
      <w:r>
        <w:rPr>
          <w:rFonts w:hint="eastAsia" w:ascii="仿宋_GB2312" w:eastAsia="仿宋_GB2312"/>
          <w:color w:val="000000"/>
          <w:sz w:val="32"/>
          <w:szCs w:val="32"/>
        </w:rPr>
        <w:t>土地流转面积超过450万亩，唐河县湖阳镇张湾村获批第二轮土地承包到期后再延长30年省级试点。农民合作社、家庭农场分别达2.5万家、2.4万家。</w:t>
      </w:r>
    </w:p>
    <w:p w14:paraId="3E1D7C36">
      <w:pPr>
        <w:pStyle w:val="2"/>
        <w:adjustRightInd w:val="0"/>
        <w:snapToGrid w:val="0"/>
        <w:spacing w:before="0" w:beforeAutospacing="0" w:after="0" w:afterAutospacing="0" w:line="600" w:lineRule="exact"/>
        <w:ind w:firstLine="662" w:firstLineChars="200"/>
        <w:jc w:val="both"/>
        <w:rPr>
          <w:rFonts w:hint="default"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b w:val="0"/>
          <w:bCs w:val="0"/>
          <w:kern w:val="2"/>
          <w:sz w:val="32"/>
          <w:szCs w:val="32"/>
        </w:rPr>
        <w:t>其三是在</w:t>
      </w:r>
      <w:r>
        <w:rPr>
          <w:rFonts w:ascii="仿宋_GB2312" w:hAnsi="Times New Roman" w:eastAsia="仿宋_GB2312"/>
          <w:kern w:val="2"/>
          <w:sz w:val="32"/>
          <w:szCs w:val="32"/>
        </w:rPr>
        <w:t>“创亮点、强引领”上有新突破</w:t>
      </w:r>
      <w:r>
        <w:rPr>
          <w:rFonts w:ascii="仿宋_GB2312" w:hAnsi="Times New Roman" w:eastAsia="仿宋_GB2312"/>
          <w:b w:val="0"/>
          <w:bCs w:val="0"/>
          <w:kern w:val="2"/>
          <w:sz w:val="32"/>
          <w:szCs w:val="32"/>
        </w:rPr>
        <w:t>。聚焦乡村振兴战略实施，通过构建片区化引领发展模式，探索粪污治理“南阳经验”等原创性改革举措，推动农业农村现代化进程提速增效。</w:t>
      </w:r>
      <w:r>
        <w:rPr>
          <w:rFonts w:ascii="仿宋_GB2312" w:hAnsi="Times New Roman" w:eastAsia="仿宋_GB2312"/>
          <w:kern w:val="2"/>
          <w:sz w:val="32"/>
          <w:szCs w:val="32"/>
        </w:rPr>
        <w:t>一是深化“千万工程”新实践，绘就和美乡村宏伟蓝图。</w:t>
      </w:r>
      <w:r>
        <w:rPr>
          <w:rFonts w:ascii="仿宋_GB2312" w:hAnsi="Times New Roman" w:eastAsia="仿宋_GB2312"/>
          <w:b w:val="0"/>
          <w:bCs w:val="0"/>
          <w:color w:val="000000"/>
          <w:kern w:val="2"/>
          <w:sz w:val="32"/>
          <w:szCs w:val="32"/>
        </w:rPr>
        <w:t>新建成美丽小镇26个、和美乡村300个、美丽乡村1000个、五美庭院11万户；入选全省和美乡村先导片区2个、首批美丽乡村精品线路2条。</w:t>
      </w:r>
      <w:r>
        <w:rPr>
          <w:rFonts w:ascii="仿宋_GB2312" w:hAnsi="Times New Roman" w:eastAsia="仿宋_GB2312"/>
          <w:kern w:val="2"/>
          <w:sz w:val="32"/>
          <w:szCs w:val="32"/>
        </w:rPr>
        <w:t>二是践行生态优先新理念，激活绿色发展内生动力。</w:t>
      </w:r>
      <w:r>
        <w:rPr>
          <w:rFonts w:ascii="仿宋_GB2312" w:hAnsi="Times New Roman" w:eastAsia="仿宋_GB2312"/>
          <w:b w:val="0"/>
          <w:bCs w:val="0"/>
          <w:color w:val="000000"/>
          <w:kern w:val="2"/>
          <w:sz w:val="32"/>
          <w:szCs w:val="32"/>
        </w:rPr>
        <w:t>抓好“内乡模式”推广工作，全市规模养殖场粪污处理设施配套率达99%以上，粪污资源化利用率达85.5%。创建省级“生态农场”称号13家，秸秆综合利用率达到94%以上。</w:t>
      </w:r>
    </w:p>
    <w:p w14:paraId="1B4FEE90">
      <w:pPr>
        <w:spacing w:line="60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ascii="仿宋_GB2312" w:hAnsi="仿宋_GB2312" w:eastAsia="仿宋_GB2312" w:cs="仿宋_GB2312"/>
          <w:sz w:val="32"/>
          <w:szCs w:val="32"/>
        </w:rPr>
        <w:t>，我们聚焦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三产耦合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推进兴业强县富民。</w:t>
      </w:r>
      <w:r>
        <w:rPr>
          <w:rFonts w:ascii="仿宋_GB2312" w:hAnsi="仿宋_GB2312" w:eastAsia="仿宋_GB2312" w:cs="仿宋_GB2312"/>
          <w:b/>
          <w:sz w:val="32"/>
          <w:szCs w:val="32"/>
        </w:rPr>
        <w:t>一是持续培育</w:t>
      </w:r>
      <w:r>
        <w:rPr>
          <w:rFonts w:hint="eastAsia" w:ascii="仿宋_GB2312" w:hAnsi="仿宋_GB2312" w:eastAsia="仿宋_GB2312" w:cs="仿宋_GB2312"/>
          <w:b/>
          <w:sz w:val="32"/>
          <w:szCs w:val="32"/>
        </w:rPr>
        <w:t>乡村</w:t>
      </w:r>
      <w:r>
        <w:rPr>
          <w:rFonts w:ascii="仿宋_GB2312" w:hAnsi="仿宋_GB2312" w:eastAsia="仿宋_GB2312" w:cs="仿宋_GB2312"/>
          <w:b/>
          <w:sz w:val="32"/>
          <w:szCs w:val="32"/>
        </w:rPr>
        <w:t>富民产业。</w:t>
      </w:r>
      <w:r>
        <w:rPr>
          <w:rFonts w:ascii="仿宋_GB2312" w:hAnsi="仿宋_GB2312" w:eastAsia="仿宋_GB2312" w:cs="仿宋_GB2312"/>
          <w:sz w:val="32"/>
          <w:szCs w:val="32"/>
        </w:rPr>
        <w:t>继续实施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4458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发展战略，坚持链式思维，推进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四大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基础产业、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五特经济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八大集群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产业实力、集聚水平、创新能力不断提升。按照特色产业专业村镇标准和要求，培育一批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产品优而特、业态精而美、布局聚而合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的特色专业村镇。</w:t>
      </w:r>
      <w:r>
        <w:rPr>
          <w:rFonts w:ascii="仿宋_GB2312" w:hAnsi="仿宋_GB2312" w:eastAsia="仿宋_GB2312" w:cs="仿宋_GB2312"/>
          <w:b/>
          <w:sz w:val="32"/>
          <w:szCs w:val="32"/>
        </w:rPr>
        <w:t>二是持续发展农产品加工业。</w:t>
      </w:r>
      <w:r>
        <w:rPr>
          <w:rFonts w:ascii="仿宋_GB2312" w:hAnsi="仿宋_GB2312" w:eastAsia="仿宋_GB2312" w:cs="仿宋_GB2312"/>
          <w:sz w:val="32"/>
          <w:szCs w:val="32"/>
        </w:rPr>
        <w:t>对我市小微型企业、农产品加工作坊等经营主体开展摸底调查。开展产销、科企、银企等对接活动，为企业提供支持服务，促进企业由小变大、由弱变强。</w:t>
      </w:r>
      <w:r>
        <w:rPr>
          <w:rFonts w:ascii="仿宋_GB2312" w:hAnsi="仿宋_GB2312" w:eastAsia="仿宋_GB2312" w:cs="仿宋_GB2312"/>
          <w:b/>
          <w:sz w:val="32"/>
          <w:szCs w:val="32"/>
        </w:rPr>
        <w:t>三是积极培育乡村新产业新业态。</w:t>
      </w:r>
      <w:r>
        <w:rPr>
          <w:rFonts w:ascii="仿宋_GB2312" w:hAnsi="仿宋_GB2312" w:eastAsia="仿宋_GB2312" w:cs="仿宋_GB2312"/>
          <w:sz w:val="32"/>
          <w:szCs w:val="32"/>
        </w:rPr>
        <w:t>立足于乡村经济、生态、社会、文化等价值禀赋，依托科技、制度等创新打破传统产业边界和业态模式，积极培育发展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村字号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IP等乡村新产业新业态。</w:t>
      </w:r>
    </w:p>
    <w:p w14:paraId="2DE679F8">
      <w:pPr>
        <w:spacing w:line="60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衷心感谢您的宝贵建议，欢迎今后继续关注和支持我市“三农”发展！</w:t>
      </w:r>
    </w:p>
    <w:p w14:paraId="3C88268B">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68163309">
      <w:pPr>
        <w:pStyle w:val="9"/>
        <w:rPr>
          <w:rFonts w:hint="eastAsia"/>
        </w:rPr>
      </w:pPr>
    </w:p>
    <w:p w14:paraId="784F5490">
      <w:pPr>
        <w:wordWrap w:val="0"/>
        <w:spacing w:line="600" w:lineRule="exact"/>
        <w:jc w:val="righ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2025年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月3</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 xml:space="preserve">        </w:t>
      </w:r>
    </w:p>
    <w:p w14:paraId="3D3DCAC5">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5E414FED">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31F6EA3C">
      <w:pPr>
        <w:spacing w:line="600" w:lineRule="exact"/>
        <w:ind w:firstLine="640"/>
        <w:rPr>
          <w:rFonts w:ascii="仿宋_GB2312" w:hAnsi="仿宋_GB2312" w:eastAsia="仿宋_GB2312" w:cs="仿宋_GB2312"/>
          <w:color w:val="auto"/>
          <w:kern w:val="21"/>
          <w:sz w:val="32"/>
          <w:highlight w:val="none"/>
        </w:rPr>
      </w:pPr>
      <w:r>
        <w:rPr>
          <w:rFonts w:hint="eastAsia" w:ascii="仿宋_GB2312" w:hAnsi="仿宋_GB2312" w:eastAsia="仿宋_GB2312" w:cs="仿宋_GB2312"/>
          <w:color w:val="auto"/>
          <w:kern w:val="21"/>
          <w:sz w:val="32"/>
          <w:highlight w:val="none"/>
        </w:rPr>
        <w:t>联系单位及电话：南阳市农业农村局    633979</w:t>
      </w:r>
      <w:r>
        <w:rPr>
          <w:rFonts w:hint="eastAsia" w:ascii="仿宋_GB2312" w:hAnsi="仿宋_GB2312" w:eastAsia="仿宋_GB2312" w:cs="仿宋_GB2312"/>
          <w:color w:val="auto"/>
          <w:kern w:val="21"/>
          <w:sz w:val="32"/>
          <w:highlight w:val="none"/>
          <w:lang w:val="en-US" w:eastAsia="zh-CN"/>
        </w:rPr>
        <w:t>6</w:t>
      </w:r>
      <w:r>
        <w:rPr>
          <w:rFonts w:hint="eastAsia" w:ascii="仿宋_GB2312" w:hAnsi="仿宋_GB2312" w:eastAsia="仿宋_GB2312" w:cs="仿宋_GB2312"/>
          <w:color w:val="auto"/>
          <w:kern w:val="21"/>
          <w:sz w:val="32"/>
          <w:highlight w:val="none"/>
        </w:rPr>
        <w:t>6</w:t>
      </w:r>
    </w:p>
    <w:p w14:paraId="0E25366B">
      <w:pPr>
        <w:spacing w:line="600" w:lineRule="exact"/>
        <w:ind w:firstLine="662" w:firstLineChars="200"/>
        <w:jc w:val="left"/>
        <w:rPr>
          <w:rFonts w:ascii="仿宋_GB2312" w:hAnsi="黑体" w:eastAsia="仿宋_GB2312" w:cs="黑体"/>
          <w:sz w:val="32"/>
          <w:szCs w:val="32"/>
        </w:rPr>
      </w:pPr>
    </w:p>
    <w:p w14:paraId="1A58766B">
      <w:pPr>
        <w:spacing w:line="600" w:lineRule="exact"/>
        <w:ind w:firstLine="662" w:firstLineChars="200"/>
        <w:jc w:val="left"/>
        <w:rPr>
          <w:rFonts w:ascii="仿宋_GB2312" w:hAnsi="黑体" w:eastAsia="仿宋_GB2312" w:cs="黑体"/>
          <w:sz w:val="32"/>
          <w:szCs w:val="32"/>
        </w:rPr>
      </w:pPr>
    </w:p>
    <w:p w14:paraId="3BF497A0">
      <w:pPr>
        <w:spacing w:line="600" w:lineRule="exact"/>
        <w:ind w:firstLine="662" w:firstLineChars="200"/>
        <w:jc w:val="left"/>
        <w:rPr>
          <w:rFonts w:ascii="仿宋_GB2312" w:hAnsi="黑体" w:eastAsia="仿宋_GB2312" w:cs="黑体"/>
          <w:sz w:val="32"/>
          <w:szCs w:val="32"/>
        </w:rPr>
      </w:pPr>
    </w:p>
    <w:p w14:paraId="123D4282">
      <w:pPr>
        <w:widowControl w:val="0"/>
        <w:wordWrap/>
        <w:adjustRightInd/>
        <w:snapToGrid/>
        <w:spacing w:before="0" w:after="0" w:line="600" w:lineRule="exact"/>
        <w:ind w:left="0" w:leftChars="0" w:right="0" w:firstLine="0" w:firstLineChars="0"/>
        <w:jc w:val="both"/>
        <w:textAlignment w:val="auto"/>
        <w:outlineLvl w:val="9"/>
        <w:rPr>
          <w:rFonts w:ascii="仿宋_GB2312" w:hAnsi="黑体" w:eastAsia="仿宋_GB2312" w:cs="黑体"/>
          <w:sz w:val="32"/>
          <w:szCs w:val="32"/>
        </w:rPr>
      </w:pPr>
      <w:bookmarkStart w:id="0" w:name="_GoBack"/>
      <w:bookmarkEnd w:id="0"/>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6350</wp:posOffset>
                </wp:positionV>
                <wp:extent cx="5649595" cy="29210"/>
                <wp:effectExtent l="0" t="6350" r="8255" b="21590"/>
                <wp:wrapNone/>
                <wp:docPr id="2" name="直接连接符 2"/>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0.5pt;height:2.3pt;width:444.85pt;z-index:251660288;mso-width-relative:page;mso-height-relative:page;" filled="f" stroked="t" coordsize="21600,21600" o:gfxdata="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CGS3VAAAABgEAAA8AAAAAAAAAAQAgAAAAIgAAAGRycy9kb3ducmV2&#10;LnhtbFBLAQIUABQAAAAIAIdO4kCIy2ue/wEAAPcDAAAOAAAAAAAAAAEAIAAAACQBAABkcnMvZTJv&#10;RG9jLnhtbFBLBQYAAAAABgAGAFkBAACVBQAAAAA=&#10;">
                <v:fill on="f" focussize="0,0"/>
                <v:stroke weight="1pt" color="#000000" joinstyle="round"/>
                <v:imagedata o:title=""/>
                <o:lock v:ext="edit" aspectratio="f"/>
              </v:line>
            </w:pict>
          </mc:Fallback>
        </mc:AlternateContent>
      </w:r>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401955</wp:posOffset>
                </wp:positionV>
                <wp:extent cx="5649595" cy="29210"/>
                <wp:effectExtent l="0" t="6350" r="8255" b="21590"/>
                <wp:wrapNone/>
                <wp:docPr id="3" name="直接连接符 3"/>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31.65pt;height:2.3pt;width:444.85pt;z-index:251661312;mso-width-relative:page;mso-height-relative:page;" filled="f" stroked="t" coordsize="21600,21600" o:gfxdata="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KnlzZAAAACAEAAA8AAAAAAAAAAQAgAAAAIgAAAGRycy9k&#10;b3ducmV2LnhtbFBLAQIUABQAAAAIAIdO4kD7dDFwAQIAAPcDAAAOAAAAAAAAAAEAIAAAACgBAABk&#10;cnMvZTJvRG9jLnhtbFBLBQYAAAAABgAGAFkBAACb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南阳市农业农村局办公室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 20</w:t>
      </w:r>
      <w:r>
        <w:rPr>
          <w:rFonts w:hint="eastAsia" w:ascii="仿宋_GB2312" w:hAnsi="仿宋_GB2312" w:eastAsia="仿宋_GB2312" w:cs="仿宋_GB2312"/>
          <w:color w:val="auto"/>
          <w:spacing w:val="0"/>
          <w:kern w:val="21"/>
          <w:sz w:val="32"/>
          <w:szCs w:val="32"/>
          <w:lang w:val="en-US" w:eastAsia="zh-CN"/>
        </w:rPr>
        <w:t>25</w:t>
      </w:r>
      <w:r>
        <w:rPr>
          <w:rFonts w:hint="eastAsia" w:ascii="仿宋_GB2312" w:hAnsi="仿宋_GB2312" w:eastAsia="仿宋_GB2312" w:cs="仿宋_GB2312"/>
          <w:color w:val="auto"/>
          <w:spacing w:val="0"/>
          <w:kern w:val="21"/>
          <w:sz w:val="32"/>
          <w:szCs w:val="32"/>
        </w:rPr>
        <w:t>年</w:t>
      </w:r>
      <w:r>
        <w:rPr>
          <w:rFonts w:hint="eastAsia" w:ascii="仿宋_GB2312" w:hAnsi="仿宋_GB2312" w:eastAsia="仿宋_GB2312" w:cs="仿宋_GB2312"/>
          <w:color w:val="auto"/>
          <w:spacing w:val="0"/>
          <w:kern w:val="21"/>
          <w:sz w:val="32"/>
          <w:szCs w:val="32"/>
          <w:lang w:val="en-US" w:eastAsia="zh-CN"/>
        </w:rPr>
        <w:t>6</w:t>
      </w:r>
      <w:r>
        <w:rPr>
          <w:rFonts w:hint="eastAsia" w:ascii="仿宋_GB2312" w:hAnsi="仿宋_GB2312" w:eastAsia="仿宋_GB2312" w:cs="仿宋_GB2312"/>
          <w:color w:val="auto"/>
          <w:spacing w:val="0"/>
          <w:kern w:val="21"/>
          <w:sz w:val="32"/>
          <w:szCs w:val="32"/>
        </w:rPr>
        <w:t>月</w:t>
      </w:r>
      <w:r>
        <w:rPr>
          <w:rFonts w:hint="eastAsia" w:ascii="仿宋_GB2312" w:hAnsi="仿宋_GB2312" w:eastAsia="仿宋_GB2312" w:cs="仿宋_GB2312"/>
          <w:color w:val="auto"/>
          <w:spacing w:val="0"/>
          <w:kern w:val="21"/>
          <w:sz w:val="32"/>
          <w:szCs w:val="32"/>
          <w:lang w:val="en-US" w:eastAsia="zh-CN"/>
        </w:rPr>
        <w:t>30</w:t>
      </w:r>
      <w:r>
        <w:rPr>
          <w:rFonts w:hint="eastAsia" w:ascii="仿宋_GB2312" w:hAnsi="仿宋_GB2312" w:eastAsia="仿宋_GB2312" w:cs="仿宋_GB2312"/>
          <w:color w:val="auto"/>
          <w:spacing w:val="0"/>
          <w:kern w:val="21"/>
          <w:sz w:val="32"/>
          <w:szCs w:val="32"/>
        </w:rPr>
        <w:t>日印发</w:t>
      </w:r>
    </w:p>
    <w:sectPr>
      <w:headerReference r:id="rId3" w:type="default"/>
      <w:footerReference r:id="rId4" w:type="default"/>
      <w:pgSz w:w="11850" w:h="16783"/>
      <w:pgMar w:top="1928" w:right="1531" w:bottom="1531" w:left="1531" w:header="851" w:footer="992" w:gutter="0"/>
      <w:pgNumType w:fmt="decimal"/>
      <w:cols w:space="720" w:num="1"/>
      <w:docGrid w:type="linesAndChars" w:linePitch="532" w:charSpace="2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F42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AE3D0">
                          <w:p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VhbcEBAACM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Ps/q&#10;dAErSnoMlJb6D9DnzMmP5Mykex1d/hIdRnHS9njRVvWJyfxouVguSwpJip0vhFM8PQ8R00cFjmWj&#10;5pGGN2gqDveYxtRzSq7m4c5YS35RWf+PgzCzp8i9jz1mK/Xbfmp8C82R+HQ095p7WnPO7CdPsuYV&#10;ORvxbGwnI9fAcLtPVHjoJ6OOUFMxGtLAaFqovAXP70PW00+0/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ToVhbcEBAACMAwAADgAAAAAAAAABACAAAAAeAQAAZHJzL2Uyb0RvYy54bWxQSwUG&#10;AAAAAAYABgBZAQAAUQUAAAAA&#10;">
              <v:fill on="f" focussize="0,0"/>
              <v:stroke on="f"/>
              <v:imagedata o:title=""/>
              <o:lock v:ext="edit" aspectratio="f"/>
              <v:textbox inset="0mm,0mm,0mm,0mm" style="mso-fit-shape-to-text:t;">
                <w:txbxContent>
                  <w:p w14:paraId="22DAE3D0">
                    <w:p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3840">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1"/>
  <w:drawingGridVerticalSpacing w:val="26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ZTJhNzE3ODZmOWFkMzNhMjAwMjJlMzllMzFkZTEifQ=="/>
  </w:docVars>
  <w:rsids>
    <w:rsidRoot w:val="006035C3"/>
    <w:rsid w:val="0001482E"/>
    <w:rsid w:val="00024954"/>
    <w:rsid w:val="00037A5A"/>
    <w:rsid w:val="000B28AE"/>
    <w:rsid w:val="00143231"/>
    <w:rsid w:val="001B0AD6"/>
    <w:rsid w:val="001C7E68"/>
    <w:rsid w:val="001D6122"/>
    <w:rsid w:val="0020053E"/>
    <w:rsid w:val="00264E69"/>
    <w:rsid w:val="00274391"/>
    <w:rsid w:val="00276D7F"/>
    <w:rsid w:val="00292DE2"/>
    <w:rsid w:val="002B14C4"/>
    <w:rsid w:val="002C5958"/>
    <w:rsid w:val="00367EA0"/>
    <w:rsid w:val="003851EC"/>
    <w:rsid w:val="003875CB"/>
    <w:rsid w:val="003D5EC9"/>
    <w:rsid w:val="0041392A"/>
    <w:rsid w:val="00483632"/>
    <w:rsid w:val="00534E2A"/>
    <w:rsid w:val="005E4F92"/>
    <w:rsid w:val="005E578D"/>
    <w:rsid w:val="00601CC6"/>
    <w:rsid w:val="006035C3"/>
    <w:rsid w:val="0065240E"/>
    <w:rsid w:val="006B75F9"/>
    <w:rsid w:val="00702CAD"/>
    <w:rsid w:val="00716EA7"/>
    <w:rsid w:val="0075757F"/>
    <w:rsid w:val="00775349"/>
    <w:rsid w:val="00785BDF"/>
    <w:rsid w:val="007F56B2"/>
    <w:rsid w:val="00801E3A"/>
    <w:rsid w:val="008372CE"/>
    <w:rsid w:val="008C0687"/>
    <w:rsid w:val="008C5516"/>
    <w:rsid w:val="008D4BE8"/>
    <w:rsid w:val="008D55C1"/>
    <w:rsid w:val="00961D45"/>
    <w:rsid w:val="00A26C39"/>
    <w:rsid w:val="00AE2F3B"/>
    <w:rsid w:val="00B60793"/>
    <w:rsid w:val="00B71055"/>
    <w:rsid w:val="00BE34B0"/>
    <w:rsid w:val="00CA173A"/>
    <w:rsid w:val="00D12AFB"/>
    <w:rsid w:val="00D14FBB"/>
    <w:rsid w:val="00DA5C86"/>
    <w:rsid w:val="00EC27DE"/>
    <w:rsid w:val="00EF45AB"/>
    <w:rsid w:val="00F24129"/>
    <w:rsid w:val="00F65B03"/>
    <w:rsid w:val="00F70A45"/>
    <w:rsid w:val="00FD1D1A"/>
    <w:rsid w:val="00FE1050"/>
    <w:rsid w:val="01505BBF"/>
    <w:rsid w:val="02271A8F"/>
    <w:rsid w:val="044944FA"/>
    <w:rsid w:val="04494535"/>
    <w:rsid w:val="076170CE"/>
    <w:rsid w:val="08161C67"/>
    <w:rsid w:val="0BA80E28"/>
    <w:rsid w:val="0BBA3AD2"/>
    <w:rsid w:val="114C494B"/>
    <w:rsid w:val="19E576EB"/>
    <w:rsid w:val="1CE62BAB"/>
    <w:rsid w:val="1E37603B"/>
    <w:rsid w:val="1FD004F5"/>
    <w:rsid w:val="28A5612C"/>
    <w:rsid w:val="2B25203D"/>
    <w:rsid w:val="2C8D04FF"/>
    <w:rsid w:val="2E505623"/>
    <w:rsid w:val="315F16D9"/>
    <w:rsid w:val="34DB551B"/>
    <w:rsid w:val="38AC16A8"/>
    <w:rsid w:val="3E9266DB"/>
    <w:rsid w:val="44020D16"/>
    <w:rsid w:val="47501D98"/>
    <w:rsid w:val="479559FD"/>
    <w:rsid w:val="48C42A3E"/>
    <w:rsid w:val="4970227E"/>
    <w:rsid w:val="49C84E7F"/>
    <w:rsid w:val="4A0D5D1E"/>
    <w:rsid w:val="504F78C3"/>
    <w:rsid w:val="53004672"/>
    <w:rsid w:val="53B603DC"/>
    <w:rsid w:val="561D6ED6"/>
    <w:rsid w:val="56B37C4E"/>
    <w:rsid w:val="576378C6"/>
    <w:rsid w:val="57C2639A"/>
    <w:rsid w:val="58D72319"/>
    <w:rsid w:val="5BF402FC"/>
    <w:rsid w:val="613227E3"/>
    <w:rsid w:val="653528A1"/>
    <w:rsid w:val="68CA1553"/>
    <w:rsid w:val="6A761BFA"/>
    <w:rsid w:val="6B362ECF"/>
    <w:rsid w:val="6B57789B"/>
    <w:rsid w:val="6C813347"/>
    <w:rsid w:val="6D800432"/>
    <w:rsid w:val="6DE22867"/>
    <w:rsid w:val="6DE24C48"/>
    <w:rsid w:val="71B40FF2"/>
    <w:rsid w:val="75D237F5"/>
    <w:rsid w:val="76AE24B4"/>
    <w:rsid w:val="7A7B3390"/>
    <w:rsid w:val="7BE14791"/>
    <w:rsid w:val="7E965BF6"/>
    <w:rsid w:val="7EB8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ind w:firstLine="200" w:firstLineChars="200"/>
    </w:pPr>
    <w:rPr>
      <w:rFonts w:eastAsia="仿宋"/>
      <w:sz w:val="32"/>
      <w:szCs w:val="21"/>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0"/>
    <w:rPr>
      <w:color w:val="0000FF"/>
      <w:u w:val="single"/>
    </w:rPr>
  </w:style>
  <w:style w:type="paragraph" w:customStyle="1" w:styleId="9">
    <w:name w:val="Default"/>
    <w:basedOn w:val="1"/>
    <w:qFormat/>
    <w:uiPriority w:val="0"/>
    <w:pPr>
      <w:autoSpaceDE w:val="0"/>
      <w:autoSpaceDN w:val="0"/>
      <w:adjustRightInd w:val="0"/>
      <w:jc w:val="left"/>
    </w:pPr>
    <w:rPr>
      <w:rFonts w:ascii="仿宋_GB2312" w:hAnsi="Times New Roman" w:eastAsia="仿宋_GB2312"/>
      <w:color w:val="000000"/>
      <w:sz w:val="24"/>
    </w:rPr>
  </w:style>
  <w:style w:type="character" w:customStyle="1" w:styleId="10">
    <w:name w:val="页脚 Char"/>
    <w:basedOn w:val="7"/>
    <w:link w:val="4"/>
    <w:autoRedefine/>
    <w:semiHidden/>
    <w:qFormat/>
    <w:uiPriority w:val="0"/>
    <w:rPr>
      <w:rFonts w:ascii="Calibri" w:hAnsi="Calibri"/>
      <w:kern w:val="2"/>
      <w:sz w:val="18"/>
      <w:szCs w:val="18"/>
    </w:rPr>
  </w:style>
  <w:style w:type="character" w:customStyle="1" w:styleId="11">
    <w:name w:val="页眉 Char"/>
    <w:basedOn w:val="7"/>
    <w:link w:val="5"/>
    <w:autoRedefine/>
    <w:semiHidden/>
    <w:qFormat/>
    <w:uiPriority w:val="0"/>
    <w:rPr>
      <w:rFonts w:ascii="Calibri" w:hAnsi="Calibri"/>
      <w:kern w:val="2"/>
      <w:sz w:val="18"/>
      <w:szCs w:val="18"/>
    </w:rPr>
  </w:style>
  <w:style w:type="paragraph" w:customStyle="1" w:styleId="12">
    <w:name w:val="p0"/>
    <w:basedOn w:val="1"/>
    <w:autoRedefine/>
    <w:qFormat/>
    <w:uiPriority w:val="0"/>
    <w:pPr>
      <w:widowControl/>
    </w:pPr>
    <w:rPr>
      <w:rFonts w:cs="宋体"/>
      <w:kern w:val="0"/>
      <w:szCs w:val="21"/>
    </w:rPr>
  </w:style>
  <w:style w:type="character" w:customStyle="1" w:styleId="13">
    <w:name w:val="标题 1 Char"/>
    <w:basedOn w:val="7"/>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1564</Words>
  <Characters>1669</Characters>
  <Lines>12</Lines>
  <Paragraphs>3</Paragraphs>
  <TotalTime>0</TotalTime>
  <ScaleCrop>false</ScaleCrop>
  <LinksUpToDate>false</LinksUpToDate>
  <CharactersWithSpaces>1749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2020-08-08T11:37:00Z</dcterms:created>
  <dc:creator>Administrator</dc:creator>
  <cp:lastModifiedBy>WPS_1640244669</cp:lastModifiedBy>
  <cp:lastPrinted>2025-07-29T07:49:00Z</cp:lastPrinted>
  <dcterms:modified xsi:type="dcterms:W3CDTF">2025-07-29T09:42:56Z</dcterms:modified>
  <dc:title>羽易</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A0D47082FE1842A6B26AC5A9435A3E36</vt:lpwstr>
  </property>
  <property fmtid="{D5CDD505-2E9C-101B-9397-08002B2CF9AE}" pid="4" name="KSOTemplateDocerSaveRecord">
    <vt:lpwstr>eyJoZGlkIjoiZTVkZTY0Yjc4MWRhZTdhNDY4YzhmZGZiMWI4OGI2MzciLCJ1c2VySWQiOiIxMzA1MjU5ODYyIn0=</vt:lpwstr>
  </property>
</Properties>
</file>